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71" w:rsidRPr="00DA0171" w:rsidRDefault="00DA0171" w:rsidP="00DA0171">
      <w:pPr>
        <w:jc w:val="center"/>
        <w:rPr>
          <w:rFonts w:ascii="Arial" w:hAnsi="Arial" w:cs="Arial"/>
          <w:color w:val="222222"/>
          <w:sz w:val="32"/>
          <w:szCs w:val="32"/>
          <w:shd w:val="clear" w:color="auto" w:fill="FFFFFF"/>
        </w:rPr>
      </w:pPr>
      <w:r w:rsidRPr="00DA0171">
        <w:rPr>
          <w:rFonts w:ascii="Arial" w:hAnsi="Arial" w:cs="Arial"/>
          <w:color w:val="222222"/>
          <w:sz w:val="32"/>
          <w:szCs w:val="32"/>
          <w:shd w:val="clear" w:color="auto" w:fill="FFFFFF"/>
        </w:rPr>
        <w:t>玻璃與瓷器的哲學</w:t>
      </w:r>
      <w:r w:rsidR="00AF48A6">
        <w:rPr>
          <w:rFonts w:ascii="Arial" w:hAnsi="Arial" w:cs="Arial" w:hint="eastAsia"/>
          <w:color w:val="222222"/>
          <w:sz w:val="32"/>
          <w:szCs w:val="32"/>
          <w:shd w:val="clear" w:color="auto" w:fill="FFFFFF"/>
        </w:rPr>
        <w:t>與生命觀</w:t>
      </w:r>
    </w:p>
    <w:p w:rsidR="00DA0171" w:rsidRPr="00DA0171" w:rsidRDefault="00DA0171" w:rsidP="00DA0171">
      <w:pPr>
        <w:jc w:val="right"/>
        <w:rPr>
          <w:rFonts w:ascii="Arial" w:hAnsi="Arial" w:cs="Arial"/>
          <w:color w:val="222222"/>
          <w:sz w:val="28"/>
          <w:szCs w:val="28"/>
          <w:shd w:val="clear" w:color="auto" w:fill="FFFFFF"/>
        </w:rPr>
      </w:pPr>
      <w:r w:rsidRPr="00DA0171">
        <w:rPr>
          <w:rFonts w:ascii="Arial" w:hAnsi="Arial" w:cs="Arial"/>
          <w:color w:val="222222"/>
          <w:sz w:val="28"/>
          <w:szCs w:val="28"/>
          <w:shd w:val="clear" w:color="auto" w:fill="FFFFFF"/>
        </w:rPr>
        <w:t>陳燕銀</w:t>
      </w:r>
    </w:p>
    <w:p w:rsidR="00DA0171" w:rsidRDefault="00DA0171">
      <w:pPr>
        <w:rPr>
          <w:sz w:val="28"/>
          <w:szCs w:val="28"/>
        </w:rPr>
      </w:pPr>
      <w:r>
        <w:rPr>
          <w:rFonts w:ascii="Arial" w:hAnsi="Arial" w:cs="Arial"/>
          <w:color w:val="222222"/>
          <w:sz w:val="19"/>
          <w:szCs w:val="19"/>
          <w:shd w:val="clear" w:color="auto" w:fill="FFFFFF"/>
        </w:rPr>
        <w:t xml:space="preserve">  </w:t>
      </w:r>
      <w:r w:rsidRPr="00DA0171">
        <w:rPr>
          <w:sz w:val="28"/>
          <w:szCs w:val="28"/>
        </w:rPr>
        <w:t xml:space="preserve">  </w:t>
      </w:r>
      <w:r w:rsidRPr="00DA0171">
        <w:rPr>
          <w:sz w:val="28"/>
          <w:szCs w:val="28"/>
        </w:rPr>
        <w:t>數十年前，我在日本讀高中的時候讀到一篇描述日本在明治維新前社會存在著好尖銳的對立。</w:t>
      </w:r>
    </w:p>
    <w:p w:rsidR="00DA0171" w:rsidRDefault="00DA0171" w:rsidP="00DA0171">
      <w:pPr>
        <w:ind w:leftChars="295" w:left="1131" w:hangingChars="151" w:hanging="423"/>
        <w:rPr>
          <w:sz w:val="28"/>
          <w:szCs w:val="28"/>
        </w:rPr>
      </w:pPr>
      <w:r>
        <w:rPr>
          <w:sz w:val="28"/>
          <w:szCs w:val="28"/>
        </w:rPr>
        <w:t>“</w:t>
      </w:r>
      <w:r w:rsidRPr="00DA0171">
        <w:rPr>
          <w:sz w:val="28"/>
          <w:szCs w:val="28"/>
        </w:rPr>
        <w:t>A</w:t>
      </w:r>
      <w:r w:rsidRPr="00DA0171">
        <w:rPr>
          <w:sz w:val="28"/>
          <w:szCs w:val="28"/>
        </w:rPr>
        <w:t>派</w:t>
      </w:r>
      <w:r>
        <w:rPr>
          <w:sz w:val="28"/>
          <w:szCs w:val="28"/>
        </w:rPr>
        <w:t>”</w:t>
      </w:r>
      <w:r w:rsidRPr="00DA0171">
        <w:rPr>
          <w:sz w:val="28"/>
          <w:szCs w:val="28"/>
        </w:rPr>
        <w:t xml:space="preserve"> </w:t>
      </w:r>
      <w:r w:rsidRPr="00DA0171">
        <w:rPr>
          <w:sz w:val="28"/>
          <w:szCs w:val="28"/>
        </w:rPr>
        <w:t>保守，認為千年來已經從漢文化中提煉成日本的特色文化了，應該繼續延用精進。</w:t>
      </w:r>
    </w:p>
    <w:p w:rsidR="00DA0171" w:rsidRDefault="00DA0171" w:rsidP="00DA0171">
      <w:pPr>
        <w:ind w:leftChars="295" w:left="1131" w:hangingChars="151" w:hanging="423"/>
        <w:rPr>
          <w:sz w:val="28"/>
          <w:szCs w:val="28"/>
        </w:rPr>
      </w:pPr>
      <w:r>
        <w:rPr>
          <w:sz w:val="28"/>
          <w:szCs w:val="28"/>
        </w:rPr>
        <w:t>“</w:t>
      </w:r>
      <w:r w:rsidRPr="00DA0171">
        <w:rPr>
          <w:sz w:val="28"/>
          <w:szCs w:val="28"/>
        </w:rPr>
        <w:t>B</w:t>
      </w:r>
      <w:r w:rsidRPr="00DA0171">
        <w:rPr>
          <w:sz w:val="28"/>
          <w:szCs w:val="28"/>
        </w:rPr>
        <w:t>派</w:t>
      </w:r>
      <w:r>
        <w:rPr>
          <w:sz w:val="28"/>
          <w:szCs w:val="28"/>
        </w:rPr>
        <w:t>”</w:t>
      </w:r>
      <w:r w:rsidRPr="00DA0171">
        <w:rPr>
          <w:sz w:val="28"/>
          <w:szCs w:val="28"/>
        </w:rPr>
        <w:t xml:space="preserve"> </w:t>
      </w:r>
      <w:r w:rsidRPr="00DA0171">
        <w:rPr>
          <w:sz w:val="28"/>
          <w:szCs w:val="28"/>
        </w:rPr>
        <w:t>求新，認為應該全面西化學習一切歐美的精準、效率、科學等等，實現「脫亞入歐」的政策。</w:t>
      </w:r>
    </w:p>
    <w:p w:rsidR="00DA0171" w:rsidRDefault="00DA0171">
      <w:pPr>
        <w:rPr>
          <w:sz w:val="28"/>
          <w:szCs w:val="28"/>
        </w:rPr>
      </w:pPr>
      <w:r w:rsidRPr="00DA0171">
        <w:rPr>
          <w:sz w:val="28"/>
          <w:szCs w:val="28"/>
        </w:rPr>
        <w:t xml:space="preserve">  </w:t>
      </w:r>
      <w:r>
        <w:rPr>
          <w:rFonts w:hint="eastAsia"/>
          <w:sz w:val="28"/>
          <w:szCs w:val="28"/>
        </w:rPr>
        <w:t xml:space="preserve"> </w:t>
      </w:r>
      <w:r w:rsidRPr="00DA0171">
        <w:rPr>
          <w:sz w:val="28"/>
          <w:szCs w:val="28"/>
        </w:rPr>
        <w:t>兩派人馬經過長期的激烈鬥爭和對抗後，有一個政治家</w:t>
      </w:r>
      <w:r w:rsidRPr="00DA0171">
        <w:rPr>
          <w:sz w:val="28"/>
          <w:szCs w:val="28"/>
        </w:rPr>
        <w:t>(</w:t>
      </w:r>
      <w:r w:rsidRPr="00DA0171">
        <w:rPr>
          <w:sz w:val="28"/>
          <w:szCs w:val="28"/>
        </w:rPr>
        <w:t>好像也是一個文學家</w:t>
      </w:r>
      <w:r w:rsidRPr="00DA0171">
        <w:rPr>
          <w:sz w:val="28"/>
          <w:szCs w:val="28"/>
        </w:rPr>
        <w:t>)</w:t>
      </w:r>
      <w:r w:rsidRPr="00DA0171">
        <w:rPr>
          <w:sz w:val="28"/>
          <w:szCs w:val="28"/>
        </w:rPr>
        <w:t>提出這樣的論點，說服了全體政府官員和人民，從此日本全國一心團結走向富強的先進國家之途。</w:t>
      </w:r>
    </w:p>
    <w:p w:rsidR="00DA0171" w:rsidRDefault="00DA0171">
      <w:pPr>
        <w:rPr>
          <w:sz w:val="28"/>
          <w:szCs w:val="28"/>
        </w:rPr>
      </w:pPr>
      <w:r w:rsidRPr="00DA0171">
        <w:rPr>
          <w:sz w:val="28"/>
          <w:szCs w:val="28"/>
        </w:rPr>
        <w:t xml:space="preserve">    </w:t>
      </w:r>
      <w:r w:rsidRPr="00DA0171">
        <w:rPr>
          <w:sz w:val="28"/>
          <w:szCs w:val="28"/>
        </w:rPr>
        <w:t>他說</w:t>
      </w:r>
      <w:r w:rsidRPr="00DA0171">
        <w:rPr>
          <w:sz w:val="28"/>
          <w:szCs w:val="28"/>
        </w:rPr>
        <w:t>:</w:t>
      </w:r>
      <w:r w:rsidRPr="00DA0171">
        <w:rPr>
          <w:sz w:val="28"/>
          <w:szCs w:val="28"/>
        </w:rPr>
        <w:t>「中國在十六世紀前絕對是世界上最強大富足的國家，但是因為華人看不起</w:t>
      </w:r>
      <w:r w:rsidRPr="00DA0171">
        <w:rPr>
          <w:sz w:val="28"/>
          <w:szCs w:val="28"/>
        </w:rPr>
        <w:t xml:space="preserve"> </w:t>
      </w:r>
      <w:r w:rsidR="00616E0E">
        <w:rPr>
          <w:sz w:val="28"/>
          <w:szCs w:val="28"/>
        </w:rPr>
        <w:t>“</w:t>
      </w:r>
      <w:r w:rsidR="00616E0E" w:rsidRPr="00DA0171">
        <w:rPr>
          <w:sz w:val="28"/>
          <w:szCs w:val="28"/>
        </w:rPr>
        <w:t>玻璃</w:t>
      </w:r>
      <w:r w:rsidR="00616E0E">
        <w:rPr>
          <w:sz w:val="28"/>
          <w:szCs w:val="28"/>
        </w:rPr>
        <w:t>”</w:t>
      </w:r>
      <w:r w:rsidRPr="00DA0171">
        <w:rPr>
          <w:sz w:val="28"/>
          <w:szCs w:val="28"/>
        </w:rPr>
        <w:t xml:space="preserve"> </w:t>
      </w:r>
      <w:r w:rsidRPr="00DA0171">
        <w:rPr>
          <w:sz w:val="28"/>
          <w:szCs w:val="28"/>
        </w:rPr>
        <w:t>這樣廉價的產品，而滿足自傲地認為瓷器才是最高貴的中華文化。然而玻璃的平價、絕緣和透明性，帶動了西方望遠鏡、顯微鏡、化學實驗等發明全面影響西方的建築、醫學、天文、藝術、物理化學、科技等學識的建構。」</w:t>
      </w:r>
    </w:p>
    <w:p w:rsidR="00DA0171" w:rsidRDefault="00DA0171">
      <w:pPr>
        <w:rPr>
          <w:sz w:val="28"/>
          <w:szCs w:val="28"/>
        </w:rPr>
      </w:pPr>
      <w:r w:rsidRPr="00DA0171">
        <w:rPr>
          <w:sz w:val="28"/>
          <w:szCs w:val="28"/>
        </w:rPr>
        <w:t xml:space="preserve">    </w:t>
      </w:r>
      <w:r w:rsidRPr="00DA0171">
        <w:rPr>
          <w:sz w:val="28"/>
          <w:szCs w:val="28"/>
        </w:rPr>
        <w:t>「中國文化對</w:t>
      </w:r>
      <w:r>
        <w:rPr>
          <w:rFonts w:hint="eastAsia"/>
          <w:sz w:val="28"/>
          <w:szCs w:val="28"/>
        </w:rPr>
        <w:t xml:space="preserve"> </w:t>
      </w:r>
      <w:r>
        <w:rPr>
          <w:sz w:val="28"/>
          <w:szCs w:val="28"/>
        </w:rPr>
        <w:t>“</w:t>
      </w:r>
      <w:r w:rsidRPr="00DA0171">
        <w:rPr>
          <w:sz w:val="28"/>
          <w:szCs w:val="28"/>
        </w:rPr>
        <w:t>玻璃</w:t>
      </w:r>
      <w:r>
        <w:rPr>
          <w:sz w:val="28"/>
          <w:szCs w:val="28"/>
        </w:rPr>
        <w:t>”</w:t>
      </w:r>
      <w:r w:rsidRPr="00DA0171">
        <w:rPr>
          <w:sz w:val="28"/>
          <w:szCs w:val="28"/>
        </w:rPr>
        <w:t>的透明特性強烈的排斥和不屑，同時影響了華人的政治思想，所以至今華人社會的決策大部份都是黑箱作業，沒有透明可期。因此富強十多世紀的中國應該會在短短</w:t>
      </w:r>
      <w:r w:rsidRPr="00DA0171">
        <w:rPr>
          <w:sz w:val="28"/>
          <w:szCs w:val="28"/>
        </w:rPr>
        <w:t>200</w:t>
      </w:r>
      <w:r w:rsidRPr="00DA0171">
        <w:rPr>
          <w:sz w:val="28"/>
          <w:szCs w:val="28"/>
        </w:rPr>
        <w:t>年內幾近崩</w:t>
      </w:r>
      <w:r w:rsidRPr="00DA0171">
        <w:rPr>
          <w:sz w:val="28"/>
          <w:szCs w:val="28"/>
        </w:rPr>
        <w:lastRenderedPageBreak/>
        <w:t>潰。」</w:t>
      </w:r>
    </w:p>
    <w:p w:rsidR="00784025" w:rsidRDefault="00DA0171">
      <w:pPr>
        <w:rPr>
          <w:sz w:val="28"/>
          <w:szCs w:val="28"/>
        </w:rPr>
      </w:pPr>
      <w:r w:rsidRPr="00DA0171">
        <w:rPr>
          <w:sz w:val="28"/>
          <w:szCs w:val="28"/>
        </w:rPr>
        <w:t xml:space="preserve">    </w:t>
      </w:r>
      <w:r w:rsidRPr="00DA0171">
        <w:rPr>
          <w:sz w:val="28"/>
          <w:szCs w:val="28"/>
        </w:rPr>
        <w:t>我</w:t>
      </w:r>
      <w:r w:rsidR="00616E0E">
        <w:rPr>
          <w:rFonts w:hint="eastAsia"/>
          <w:sz w:val="28"/>
          <w:szCs w:val="28"/>
        </w:rPr>
        <w:t>1970</w:t>
      </w:r>
      <w:r w:rsidR="00616E0E">
        <w:rPr>
          <w:rFonts w:hint="eastAsia"/>
          <w:sz w:val="28"/>
          <w:szCs w:val="28"/>
        </w:rPr>
        <w:t>年代末</w:t>
      </w:r>
      <w:r w:rsidRPr="00DA0171">
        <w:rPr>
          <w:sz w:val="28"/>
          <w:szCs w:val="28"/>
        </w:rPr>
        <w:t>回國</w:t>
      </w:r>
      <w:r w:rsidR="00616E0E">
        <w:rPr>
          <w:rFonts w:hint="eastAsia"/>
          <w:sz w:val="28"/>
          <w:szCs w:val="28"/>
        </w:rPr>
        <w:t>工作。</w:t>
      </w:r>
      <w:r w:rsidRPr="00DA0171">
        <w:rPr>
          <w:sz w:val="28"/>
          <w:szCs w:val="28"/>
        </w:rPr>
        <w:t>至今數十年從來沒有聽過華人世界有人提起這樣的論點，去故宮博物館果然沒有見過任何一件玻璃的產品</w:t>
      </w:r>
      <w:r w:rsidRPr="00DA0171">
        <w:rPr>
          <w:sz w:val="28"/>
          <w:szCs w:val="28"/>
        </w:rPr>
        <w:t xml:space="preserve"> !</w:t>
      </w:r>
      <w:r w:rsidR="00616E0E">
        <w:rPr>
          <w:rFonts w:hint="eastAsia"/>
          <w:sz w:val="28"/>
          <w:szCs w:val="28"/>
        </w:rPr>
        <w:t xml:space="preserve"> </w:t>
      </w:r>
    </w:p>
    <w:p w:rsidR="00DA0171" w:rsidRDefault="00DA0171">
      <w:pPr>
        <w:rPr>
          <w:sz w:val="28"/>
          <w:szCs w:val="28"/>
        </w:rPr>
      </w:pPr>
    </w:p>
    <w:p w:rsidR="00DA0171" w:rsidRDefault="00DA0171" w:rsidP="00DA0171">
      <w:pPr>
        <w:jc w:val="right"/>
        <w:rPr>
          <w:rFonts w:ascii="Arial" w:hAnsi="Arial" w:cs="Arial" w:hint="eastAsia"/>
          <w:color w:val="222222"/>
          <w:sz w:val="19"/>
          <w:szCs w:val="19"/>
          <w:shd w:val="clear" w:color="auto" w:fill="FFFFFF"/>
        </w:rPr>
      </w:pPr>
      <w:r>
        <w:rPr>
          <w:rFonts w:ascii="Arial" w:hAnsi="Arial" w:cs="Arial"/>
          <w:color w:val="222222"/>
          <w:sz w:val="19"/>
          <w:szCs w:val="19"/>
          <w:shd w:val="clear" w:color="auto" w:fill="FFFFFF"/>
        </w:rPr>
        <w:t>摘錄自陳燕銀</w:t>
      </w:r>
      <w:r>
        <w:rPr>
          <w:rFonts w:ascii="Arial" w:hAnsi="Arial" w:cs="Arial"/>
          <w:color w:val="222222"/>
          <w:sz w:val="19"/>
          <w:szCs w:val="19"/>
          <w:shd w:val="clear" w:color="auto" w:fill="FFFFFF"/>
        </w:rPr>
        <w:t>2015</w:t>
      </w:r>
      <w:r>
        <w:rPr>
          <w:rFonts w:ascii="Arial" w:hAnsi="Arial" w:cs="Arial"/>
          <w:color w:val="222222"/>
          <w:sz w:val="19"/>
          <w:szCs w:val="19"/>
          <w:shd w:val="clear" w:color="auto" w:fill="FFFFFF"/>
        </w:rPr>
        <w:t>年歲末日記</w:t>
      </w:r>
    </w:p>
    <w:p w:rsidR="00D51EB9" w:rsidRDefault="00D51EB9" w:rsidP="00DA0171">
      <w:pPr>
        <w:jc w:val="right"/>
        <w:rPr>
          <w:rFonts w:ascii="Arial" w:hAnsi="Arial" w:cs="Arial" w:hint="eastAsia"/>
          <w:color w:val="222222"/>
          <w:sz w:val="19"/>
          <w:szCs w:val="19"/>
          <w:shd w:val="clear" w:color="auto" w:fill="FFFFFF"/>
        </w:rPr>
      </w:pPr>
    </w:p>
    <w:p w:rsidR="00D51EB9" w:rsidRDefault="00D51EB9" w:rsidP="00DA0171">
      <w:pPr>
        <w:jc w:val="right"/>
        <w:rPr>
          <w:rFonts w:ascii="Arial" w:hAnsi="Arial" w:cs="Arial" w:hint="eastAsia"/>
          <w:color w:val="222222"/>
          <w:sz w:val="19"/>
          <w:szCs w:val="19"/>
          <w:shd w:val="clear" w:color="auto" w:fill="FFFFFF"/>
        </w:rPr>
      </w:pPr>
    </w:p>
    <w:p w:rsidR="00D51EB9" w:rsidRDefault="00D51EB9" w:rsidP="00DA0171">
      <w:pPr>
        <w:jc w:val="right"/>
        <w:rPr>
          <w:rFonts w:ascii="Arial" w:hAnsi="Arial" w:cs="Arial" w:hint="eastAsia"/>
          <w:color w:val="222222"/>
          <w:sz w:val="19"/>
          <w:szCs w:val="19"/>
          <w:shd w:val="clear" w:color="auto" w:fill="FFFFFF"/>
        </w:rPr>
      </w:pPr>
    </w:p>
    <w:tbl>
      <w:tblPr>
        <w:tblStyle w:val="a7"/>
        <w:tblW w:w="0" w:type="auto"/>
        <w:tblLook w:val="04A0"/>
      </w:tblPr>
      <w:tblGrid>
        <w:gridCol w:w="8362"/>
      </w:tblGrid>
      <w:tr w:rsidR="00D51EB9" w:rsidTr="00D51EB9">
        <w:tc>
          <w:tcPr>
            <w:tcW w:w="8362" w:type="dxa"/>
          </w:tcPr>
          <w:p w:rsidR="00D51EB9" w:rsidRDefault="00D51EB9" w:rsidP="00D51EB9">
            <w:pPr>
              <w:rPr>
                <w:rFonts w:ascii="Arial" w:hAnsi="Arial" w:cs="Arial" w:hint="eastAsia"/>
                <w:color w:val="222222"/>
                <w:sz w:val="28"/>
                <w:szCs w:val="28"/>
                <w:shd w:val="clear" w:color="auto" w:fill="FFFFFF"/>
              </w:rPr>
            </w:pPr>
            <w:r w:rsidRPr="00DA0171">
              <w:rPr>
                <w:rFonts w:ascii="Arial" w:hAnsi="Arial" w:cs="Arial"/>
                <w:color w:val="222222"/>
                <w:sz w:val="28"/>
                <w:szCs w:val="28"/>
                <w:shd w:val="clear" w:color="auto" w:fill="FFFFFF"/>
              </w:rPr>
              <w:t>陳燕銀</w:t>
            </w:r>
            <w:r>
              <w:rPr>
                <w:rFonts w:ascii="Arial" w:hAnsi="Arial" w:cs="Arial" w:hint="eastAsia"/>
                <w:color w:val="222222"/>
                <w:sz w:val="28"/>
                <w:szCs w:val="28"/>
                <w:shd w:val="clear" w:color="auto" w:fill="FFFFFF"/>
              </w:rPr>
              <w:t>隨筆</w:t>
            </w:r>
            <w:r>
              <w:rPr>
                <w:rFonts w:ascii="Arial" w:hAnsi="Arial" w:cs="Arial" w:hint="eastAsia"/>
                <w:color w:val="222222"/>
                <w:sz w:val="28"/>
                <w:szCs w:val="28"/>
                <w:shd w:val="clear" w:color="auto" w:fill="FFFFFF"/>
              </w:rPr>
              <w:t xml:space="preserve"> Links</w:t>
            </w:r>
          </w:p>
          <w:p w:rsidR="00D51EB9" w:rsidRPr="00D51EB9" w:rsidRDefault="00D51EB9" w:rsidP="003A4ECF">
            <w:pPr>
              <w:widowControl/>
              <w:snapToGrid w:val="0"/>
              <w:ind w:firstLineChars="150" w:firstLine="405"/>
              <w:outlineLvl w:val="0"/>
              <w:rPr>
                <w:rFonts w:ascii="Calibri" w:eastAsia="新細明體" w:hAnsi="Calibri" w:cs="新細明體" w:hint="eastAsia"/>
                <w:b/>
                <w:bCs/>
                <w:color w:val="1C6531"/>
                <w:spacing w:val="15"/>
                <w:kern w:val="36"/>
                <w:szCs w:val="24"/>
              </w:rPr>
            </w:pPr>
            <w:r w:rsidRPr="00D51EB9">
              <w:rPr>
                <w:rFonts w:ascii="Calibri" w:eastAsia="新細明體" w:hAnsi="Calibri" w:cs="新細明體" w:hint="eastAsia"/>
                <w:b/>
                <w:bCs/>
                <w:color w:val="1C6531"/>
                <w:spacing w:val="15"/>
                <w:kern w:val="36"/>
                <w:szCs w:val="24"/>
              </w:rPr>
              <w:t>都會土包子買菜記</w:t>
            </w:r>
          </w:p>
          <w:p w:rsidR="00D51EB9" w:rsidRPr="00D51EB9" w:rsidRDefault="00D51EB9" w:rsidP="003A4ECF">
            <w:pPr>
              <w:widowControl/>
              <w:snapToGrid w:val="0"/>
              <w:ind w:firstLineChars="150" w:firstLine="405"/>
              <w:outlineLvl w:val="0"/>
              <w:rPr>
                <w:rFonts w:ascii="Calibri" w:eastAsia="新細明體" w:hAnsi="Calibri" w:cs="新細明體"/>
                <w:b/>
                <w:bCs/>
                <w:color w:val="1C6531"/>
                <w:spacing w:val="15"/>
                <w:kern w:val="36"/>
                <w:szCs w:val="24"/>
              </w:rPr>
            </w:pPr>
            <w:r w:rsidRPr="00D51EB9">
              <w:rPr>
                <w:rFonts w:ascii="Calibri" w:eastAsia="新細明體" w:hAnsi="Calibri" w:cs="新細明體"/>
                <w:b/>
                <w:bCs/>
                <w:color w:val="1C6531"/>
                <w:spacing w:val="15"/>
                <w:kern w:val="36"/>
                <w:szCs w:val="24"/>
              </w:rPr>
              <w:t>http://www.taiwanbasic.com/anotes/g1/bumpkin.html</w:t>
            </w:r>
          </w:p>
          <w:p w:rsidR="00D51EB9" w:rsidRPr="00D51EB9" w:rsidRDefault="00D51EB9" w:rsidP="00D51EB9">
            <w:pPr>
              <w:ind w:firstLineChars="202" w:firstLine="566"/>
              <w:rPr>
                <w:rFonts w:ascii="Arial" w:hAnsi="Arial" w:cs="Arial" w:hint="eastAsia"/>
                <w:color w:val="222222"/>
                <w:sz w:val="28"/>
                <w:szCs w:val="28"/>
                <w:shd w:val="clear" w:color="auto" w:fill="FFFFFF"/>
              </w:rPr>
            </w:pPr>
          </w:p>
          <w:p w:rsidR="00D51EB9" w:rsidRDefault="00616E0E" w:rsidP="00616E0E">
            <w:pPr>
              <w:rPr>
                <w:rFonts w:ascii="Arial" w:hAnsi="Arial" w:cs="Arial" w:hint="eastAsia"/>
                <w:color w:val="222222"/>
                <w:sz w:val="28"/>
                <w:szCs w:val="28"/>
                <w:shd w:val="clear" w:color="auto" w:fill="FFFFFF"/>
              </w:rPr>
            </w:pPr>
            <w:r>
              <w:rPr>
                <w:rFonts w:ascii="Arial" w:hAnsi="Arial" w:cs="Arial" w:hint="eastAsia"/>
                <w:color w:val="222222"/>
                <w:sz w:val="28"/>
                <w:szCs w:val="28"/>
                <w:shd w:val="clear" w:color="auto" w:fill="FFFFFF"/>
              </w:rPr>
              <w:t xml:space="preserve">   </w:t>
            </w:r>
            <w:r w:rsidR="00410FC2" w:rsidRPr="00410FC2">
              <w:rPr>
                <w:rFonts w:ascii="Arial" w:hAnsi="Arial" w:cs="Arial" w:hint="eastAsia"/>
                <w:color w:val="222222"/>
                <w:sz w:val="28"/>
                <w:szCs w:val="28"/>
                <w:shd w:val="clear" w:color="auto" w:fill="FFFFFF"/>
              </w:rPr>
              <w:t>「漁村培根」</w:t>
            </w:r>
            <w:r w:rsidR="00410FC2" w:rsidRPr="00410FC2">
              <w:rPr>
                <w:rFonts w:ascii="Arial" w:hAnsi="Arial" w:cs="Arial" w:hint="eastAsia"/>
                <w:color w:val="222222"/>
                <w:sz w:val="28"/>
                <w:szCs w:val="28"/>
                <w:shd w:val="clear" w:color="auto" w:fill="FFFFFF"/>
              </w:rPr>
              <w:t>--</w:t>
            </w:r>
            <w:r w:rsidR="00410FC2" w:rsidRPr="00410FC2">
              <w:rPr>
                <w:rFonts w:ascii="Arial" w:hAnsi="Arial" w:cs="Arial" w:hint="eastAsia"/>
                <w:color w:val="222222"/>
                <w:sz w:val="28"/>
                <w:szCs w:val="28"/>
                <w:shd w:val="clear" w:color="auto" w:fill="FFFFFF"/>
              </w:rPr>
              <w:t>八斗子社區</w:t>
            </w:r>
            <w:r w:rsidR="00410FC2" w:rsidRPr="00410FC2">
              <w:rPr>
                <w:rFonts w:ascii="Arial" w:hAnsi="Arial" w:cs="Arial" w:hint="eastAsia"/>
                <w:color w:val="222222"/>
                <w:sz w:val="28"/>
                <w:szCs w:val="28"/>
                <w:shd w:val="clear" w:color="auto" w:fill="FFFFFF"/>
              </w:rPr>
              <w:t xml:space="preserve"> Part2</w:t>
            </w:r>
          </w:p>
          <w:p w:rsidR="00410FC2" w:rsidRDefault="00410FC2" w:rsidP="00616E0E">
            <w:pPr>
              <w:rPr>
                <w:rFonts w:ascii="Arial" w:hAnsi="Arial" w:cs="Arial" w:hint="eastAsia"/>
                <w:color w:val="222222"/>
                <w:sz w:val="28"/>
                <w:szCs w:val="28"/>
                <w:shd w:val="clear" w:color="auto" w:fill="FFFFFF"/>
              </w:rPr>
            </w:pPr>
            <w:r>
              <w:rPr>
                <w:rFonts w:ascii="Arial" w:hAnsi="Arial" w:cs="Arial" w:hint="eastAsia"/>
                <w:color w:val="222222"/>
                <w:sz w:val="28"/>
                <w:szCs w:val="28"/>
                <w:shd w:val="clear" w:color="auto" w:fill="FFFFFF"/>
              </w:rPr>
              <w:t xml:space="preserve">    </w:t>
            </w:r>
            <w:hyperlink r:id="rId6" w:history="1">
              <w:r w:rsidRPr="005B502C">
                <w:rPr>
                  <w:rStyle w:val="a8"/>
                  <w:rFonts w:ascii="Arial" w:hAnsi="Arial" w:cs="Arial"/>
                  <w:sz w:val="28"/>
                  <w:szCs w:val="28"/>
                  <w:shd w:val="clear" w:color="auto" w:fill="FFFFFF"/>
                </w:rPr>
                <w:t>http://goo.gl/myp38o</w:t>
              </w:r>
            </w:hyperlink>
          </w:p>
          <w:p w:rsidR="00410FC2" w:rsidRDefault="00410FC2" w:rsidP="00616E0E">
            <w:pPr>
              <w:rPr>
                <w:rFonts w:ascii="Arial" w:hAnsi="Arial" w:cs="Arial" w:hint="eastAsia"/>
                <w:color w:val="222222"/>
                <w:sz w:val="28"/>
                <w:szCs w:val="28"/>
                <w:shd w:val="clear" w:color="auto" w:fill="FFFFFF"/>
              </w:rPr>
            </w:pPr>
          </w:p>
          <w:p w:rsidR="00410FC2" w:rsidRPr="00DA0171" w:rsidRDefault="00410FC2" w:rsidP="00616E0E">
            <w:pPr>
              <w:rPr>
                <w:rFonts w:ascii="Arial" w:hAnsi="Arial" w:cs="Arial"/>
                <w:color w:val="222222"/>
                <w:sz w:val="28"/>
                <w:szCs w:val="28"/>
                <w:shd w:val="clear" w:color="auto" w:fill="FFFFFF"/>
              </w:rPr>
            </w:pPr>
            <w:r>
              <w:rPr>
                <w:rFonts w:ascii="Arial" w:hAnsi="Arial" w:cs="Arial" w:hint="eastAsia"/>
                <w:color w:val="222222"/>
                <w:sz w:val="28"/>
                <w:szCs w:val="28"/>
                <w:shd w:val="clear" w:color="auto" w:fill="FFFFFF"/>
              </w:rPr>
              <w:t xml:space="preserve">    </w:t>
            </w:r>
          </w:p>
          <w:p w:rsidR="00D51EB9" w:rsidRDefault="00D51EB9" w:rsidP="00D51EB9">
            <w:pPr>
              <w:ind w:firstLineChars="202" w:firstLine="485"/>
              <w:rPr>
                <w:rFonts w:hint="eastAsia"/>
                <w:szCs w:val="24"/>
              </w:rPr>
            </w:pPr>
          </w:p>
          <w:p w:rsidR="00D51EB9" w:rsidRDefault="00D51EB9" w:rsidP="00D51EB9">
            <w:pPr>
              <w:ind w:firstLineChars="202" w:firstLine="485"/>
              <w:rPr>
                <w:rFonts w:hint="eastAsia"/>
                <w:szCs w:val="24"/>
              </w:rPr>
            </w:pPr>
          </w:p>
          <w:p w:rsidR="00D51EB9" w:rsidRDefault="00D51EB9" w:rsidP="00D51EB9">
            <w:pPr>
              <w:ind w:firstLineChars="202" w:firstLine="485"/>
              <w:rPr>
                <w:rFonts w:hint="eastAsia"/>
                <w:szCs w:val="24"/>
              </w:rPr>
            </w:pPr>
          </w:p>
          <w:p w:rsidR="00D51EB9" w:rsidRDefault="00D51EB9" w:rsidP="00D51EB9">
            <w:pPr>
              <w:ind w:firstLineChars="202" w:firstLine="485"/>
              <w:rPr>
                <w:rFonts w:hint="eastAsia"/>
                <w:szCs w:val="24"/>
              </w:rPr>
            </w:pPr>
          </w:p>
          <w:p w:rsidR="00D51EB9" w:rsidRDefault="00D51EB9" w:rsidP="00D51EB9">
            <w:pPr>
              <w:rPr>
                <w:rFonts w:hint="eastAsia"/>
                <w:szCs w:val="24"/>
              </w:rPr>
            </w:pPr>
          </w:p>
          <w:p w:rsidR="00D51EB9" w:rsidRDefault="00D51EB9" w:rsidP="00D51EB9">
            <w:pPr>
              <w:rPr>
                <w:rFonts w:hint="eastAsia"/>
                <w:szCs w:val="24"/>
              </w:rPr>
            </w:pPr>
          </w:p>
          <w:p w:rsidR="00D51EB9" w:rsidRDefault="00D51EB9" w:rsidP="00D51EB9">
            <w:pPr>
              <w:rPr>
                <w:szCs w:val="24"/>
              </w:rPr>
            </w:pPr>
          </w:p>
        </w:tc>
      </w:tr>
    </w:tbl>
    <w:p w:rsidR="00D51EB9" w:rsidRPr="00D51EB9" w:rsidRDefault="00D51EB9" w:rsidP="00D51EB9">
      <w:pPr>
        <w:rPr>
          <w:szCs w:val="24"/>
        </w:rPr>
      </w:pPr>
    </w:p>
    <w:sectPr w:rsidR="00D51EB9" w:rsidRPr="00D51EB9"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15D" w:rsidRDefault="00D6615D" w:rsidP="00D51EB9">
      <w:pPr>
        <w:spacing w:line="240" w:lineRule="auto"/>
      </w:pPr>
      <w:r>
        <w:separator/>
      </w:r>
    </w:p>
  </w:endnote>
  <w:endnote w:type="continuationSeparator" w:id="1">
    <w:p w:rsidR="00D6615D" w:rsidRDefault="00D6615D" w:rsidP="00D51E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15D" w:rsidRDefault="00D6615D" w:rsidP="00D51EB9">
      <w:pPr>
        <w:spacing w:line="240" w:lineRule="auto"/>
      </w:pPr>
      <w:r>
        <w:separator/>
      </w:r>
    </w:p>
  </w:footnote>
  <w:footnote w:type="continuationSeparator" w:id="1">
    <w:p w:rsidR="00D6615D" w:rsidRDefault="00D6615D" w:rsidP="00D51EB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171"/>
    <w:rsid w:val="003A4ECF"/>
    <w:rsid w:val="00410FC2"/>
    <w:rsid w:val="00616E0E"/>
    <w:rsid w:val="00784025"/>
    <w:rsid w:val="00AF48A6"/>
    <w:rsid w:val="00C97992"/>
    <w:rsid w:val="00CF397D"/>
    <w:rsid w:val="00D51EB9"/>
    <w:rsid w:val="00D6615D"/>
    <w:rsid w:val="00DA0171"/>
    <w:rsid w:val="00F44B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paragraph" w:styleId="1">
    <w:name w:val="heading 1"/>
    <w:basedOn w:val="a"/>
    <w:link w:val="10"/>
    <w:uiPriority w:val="9"/>
    <w:qFormat/>
    <w:rsid w:val="00D51EB9"/>
    <w:pPr>
      <w:widowControl/>
      <w:spacing w:before="100" w:beforeAutospacing="1" w:after="100" w:afterAutospacing="1" w:line="240" w:lineRule="auto"/>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1EB9"/>
    <w:pPr>
      <w:tabs>
        <w:tab w:val="center" w:pos="4153"/>
        <w:tab w:val="right" w:pos="8306"/>
      </w:tabs>
      <w:snapToGrid w:val="0"/>
    </w:pPr>
    <w:rPr>
      <w:sz w:val="20"/>
      <w:szCs w:val="20"/>
    </w:rPr>
  </w:style>
  <w:style w:type="character" w:customStyle="1" w:styleId="a4">
    <w:name w:val="頁首 字元"/>
    <w:basedOn w:val="a0"/>
    <w:link w:val="a3"/>
    <w:uiPriority w:val="99"/>
    <w:semiHidden/>
    <w:rsid w:val="00D51EB9"/>
    <w:rPr>
      <w:sz w:val="20"/>
      <w:szCs w:val="20"/>
    </w:rPr>
  </w:style>
  <w:style w:type="paragraph" w:styleId="a5">
    <w:name w:val="footer"/>
    <w:basedOn w:val="a"/>
    <w:link w:val="a6"/>
    <w:uiPriority w:val="99"/>
    <w:semiHidden/>
    <w:unhideWhenUsed/>
    <w:rsid w:val="00D51EB9"/>
    <w:pPr>
      <w:tabs>
        <w:tab w:val="center" w:pos="4153"/>
        <w:tab w:val="right" w:pos="8306"/>
      </w:tabs>
      <w:snapToGrid w:val="0"/>
    </w:pPr>
    <w:rPr>
      <w:sz w:val="20"/>
      <w:szCs w:val="20"/>
    </w:rPr>
  </w:style>
  <w:style w:type="character" w:customStyle="1" w:styleId="a6">
    <w:name w:val="頁尾 字元"/>
    <w:basedOn w:val="a0"/>
    <w:link w:val="a5"/>
    <w:uiPriority w:val="99"/>
    <w:semiHidden/>
    <w:rsid w:val="00D51EB9"/>
    <w:rPr>
      <w:sz w:val="20"/>
      <w:szCs w:val="20"/>
    </w:rPr>
  </w:style>
  <w:style w:type="table" w:styleId="a7">
    <w:name w:val="Table Grid"/>
    <w:basedOn w:val="a1"/>
    <w:uiPriority w:val="59"/>
    <w:rsid w:val="00D51EB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0"/>
    <w:link w:val="1"/>
    <w:uiPriority w:val="9"/>
    <w:rsid w:val="00D51EB9"/>
    <w:rPr>
      <w:rFonts w:ascii="新細明體" w:eastAsia="新細明體" w:hAnsi="新細明體" w:cs="新細明體"/>
      <w:b/>
      <w:bCs/>
      <w:kern w:val="36"/>
      <w:sz w:val="48"/>
      <w:szCs w:val="48"/>
    </w:rPr>
  </w:style>
  <w:style w:type="character" w:styleId="a8">
    <w:name w:val="Hyperlink"/>
    <w:basedOn w:val="a0"/>
    <w:uiPriority w:val="99"/>
    <w:unhideWhenUsed/>
    <w:rsid w:val="00410F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32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myp38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2016-01-03T06:26:00Z</dcterms:created>
  <dcterms:modified xsi:type="dcterms:W3CDTF">2016-01-03T13:37:00Z</dcterms:modified>
</cp:coreProperties>
</file>