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51" w:rsidRDefault="0058064D" w:rsidP="0058064D">
      <w:pPr>
        <w:widowControl/>
        <w:ind w:firstLineChars="100" w:firstLine="270"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  <w:proofErr w:type="gramStart"/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&lt;  &lt;</w:t>
      </w:r>
      <w:proofErr w:type="gramEnd"/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&lt;  </w:t>
      </w:r>
      <w:r w:rsidRPr="0058064D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>MODERN TAIWAN HISTORY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&gt;  &gt;  &gt;</w:t>
      </w:r>
    </w:p>
    <w:p w:rsidR="0058064D" w:rsidRDefault="0058064D" w:rsidP="0058064D">
      <w:pPr>
        <w:widowControl/>
        <w:ind w:firstLineChars="100" w:firstLine="270"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</w:p>
    <w:p w:rsidR="0058064D" w:rsidRDefault="0058064D" w:rsidP="00125D2F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Introduction </w:t>
      </w:r>
    </w:p>
    <w:p w:rsidR="002E3151" w:rsidRPr="002E3151" w:rsidRDefault="002E3151" w:rsidP="002E3151">
      <w:pPr>
        <w:widowControl/>
        <w:jc w:val="right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C07847" w:rsidRDefault="0058064D" w:rsidP="00642EF0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  <w:proofErr w:type="gramStart"/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Regarding the international legal status of Taiwan, a</w:t>
      </w:r>
      <w:r w:rsidR="00C07847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review of 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nearly a dozen </w:t>
      </w:r>
      <w:r w:rsidR="00C07847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Department of State reports from the 1940s 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and 1950s </w:t>
      </w:r>
      <w:r w:rsidR="00C07847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reveal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s</w:t>
      </w:r>
      <w:r w:rsidR="00C07847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large numbers of </w:t>
      </w:r>
      <w:r w:rsidR="00C07847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incorrect assumptions and </w:t>
      </w:r>
      <w:r w:rsidR="00D5099F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faulty </w:t>
      </w:r>
      <w:r w:rsidR="00C07847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analysis.</w:t>
      </w:r>
      <w:proofErr w:type="gramEnd"/>
      <w:r w:rsidR="00C07847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</w:t>
      </w:r>
    </w:p>
    <w:p w:rsidR="00C07847" w:rsidRDefault="00C07847" w:rsidP="00642EF0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</w:p>
    <w:p w:rsidR="007E7B35" w:rsidRDefault="00D44E6A" w:rsidP="00642EF0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In order to rectify this, and clear up many of points of confusion</w:t>
      </w:r>
      <w:r w:rsidR="00A3720D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raised by related researchers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, </w:t>
      </w:r>
      <w:r w:rsidR="0058064D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this Summary 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has been prepared and circulated for reference. </w:t>
      </w:r>
      <w:r w:rsidR="0058064D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</w:t>
      </w:r>
      <w:r w:rsidR="002E3151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</w:t>
      </w:r>
    </w:p>
    <w:p w:rsidR="00125D2F" w:rsidRPr="007E7B35" w:rsidRDefault="00125D2F" w:rsidP="00642EF0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58064D" w:rsidRDefault="00125D2F" w:rsidP="00125D2F">
      <w:pPr>
        <w:widowControl/>
        <w:jc w:val="right"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= = = CLASSIFIED = = =</w:t>
      </w:r>
    </w:p>
    <w:p w:rsidR="0058064D" w:rsidRDefault="0058064D" w:rsidP="00642EF0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  <w:t>Summary</w:t>
      </w:r>
    </w:p>
    <w:p w:rsidR="0058064D" w:rsidRDefault="00642EF0" w:rsidP="00642EF0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  <w:r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>Looking at the last four hundred years of Taiwan history, it quickly becomes clear that all changes of sovereignty have been based on the principle of conquest. </w:t>
      </w:r>
    </w:p>
    <w:p w:rsidR="0058064D" w:rsidRDefault="0058064D" w:rsidP="00642EF0">
      <w:pPr>
        <w:widowControl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</w:p>
    <w:p w:rsidR="00642EF0" w:rsidRPr="00642EF0" w:rsidRDefault="0058064D" w:rsidP="00642EF0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kern w:val="0"/>
          <w:sz w:val="27"/>
          <w:szCs w:val="27"/>
          <w:shd w:val="clear" w:color="auto" w:fill="FFFFFF"/>
        </w:rPr>
        <w:t xml:space="preserve">Taiwan: A History of </w:t>
      </w:r>
      <w:r w:rsidRPr="0058064D">
        <w:rPr>
          <w:rFonts w:ascii="Arial" w:eastAsia="新細明體" w:hAnsi="Arial" w:cs="Arial"/>
          <w:color w:val="000000"/>
          <w:kern w:val="0"/>
          <w:sz w:val="27"/>
          <w:szCs w:val="27"/>
          <w:shd w:val="clear" w:color="auto" w:fill="FFFFFF"/>
        </w:rPr>
        <w:t>"Conquest" and "Dominion"</w:t>
      </w:r>
      <w:r w:rsidR="00642EF0"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="00642EF0"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="00642EF0" w:rsidRPr="00642EF0">
        <w:rPr>
          <w:rFonts w:ascii="Arial" w:eastAsia="新細明體" w:hAnsi="Arial" w:cs="Arial"/>
          <w:color w:val="000000"/>
          <w:kern w:val="0"/>
          <w:sz w:val="27"/>
          <w:szCs w:val="27"/>
          <w:shd w:val="clear" w:color="auto" w:fill="FFFFFF"/>
        </w:rPr>
        <w:t xml:space="preserve">Changes of Sovereignty </w:t>
      </w:r>
      <w:r>
        <w:rPr>
          <w:rFonts w:ascii="Arial" w:eastAsia="新細明體" w:hAnsi="Arial" w:cs="Arial"/>
          <w:color w:val="000000"/>
          <w:kern w:val="0"/>
          <w:sz w:val="27"/>
          <w:szCs w:val="27"/>
          <w:shd w:val="clear" w:color="auto" w:fill="FFFFFF"/>
        </w:rPr>
        <w:t>–</w:t>
      </w:r>
      <w:r>
        <w:rPr>
          <w:rFonts w:ascii="Arial" w:eastAsia="新細明體" w:hAnsi="Arial" w:cs="Arial" w:hint="eastAsia"/>
          <w:color w:val="000000"/>
          <w:kern w:val="0"/>
          <w:sz w:val="27"/>
          <w:szCs w:val="27"/>
          <w:shd w:val="clear" w:color="auto" w:fill="FFFFFF"/>
        </w:rPr>
        <w:t xml:space="preserve"> an Overview</w:t>
      </w:r>
    </w:p>
    <w:tbl>
      <w:tblPr>
        <w:tblW w:w="86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735"/>
        <w:gridCol w:w="1267"/>
        <w:gridCol w:w="2226"/>
        <w:gridCol w:w="2144"/>
        <w:gridCol w:w="2268"/>
      </w:tblGrid>
      <w:tr w:rsidR="00642EF0" w:rsidRPr="00642EF0" w:rsidTr="00642E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59EC7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59EC7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Conqueror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59EC7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Taiwan was acquired under the principle of _______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59EC7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Taiwan was held under the dominion of _______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59EC7"/>
            <w:vAlign w:val="center"/>
          </w:tcPr>
          <w:p w:rsidR="00642EF0" w:rsidRDefault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Sovereignty held by _______</w:t>
            </w:r>
          </w:p>
          <w:p w:rsidR="00642EF0" w:rsidRDefault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42EF0" w:rsidRPr="00642EF0" w:rsidTr="00642E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1624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Dutch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conquest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Dutch, 1624 to 1662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Dutch, to 1662</w:t>
            </w:r>
          </w:p>
        </w:tc>
      </w:tr>
      <w:tr w:rsidR="00642EF0" w:rsidRPr="00642EF0" w:rsidTr="00642E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1662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spellStart"/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Koxinga</w:t>
            </w:r>
            <w:proofErr w:type="spellEnd"/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conquest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spellStart"/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Koxinga</w:t>
            </w:r>
            <w:proofErr w:type="spellEnd"/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, 1662 to 1683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42EF0" w:rsidRDefault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spellStart"/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Koxinga</w:t>
            </w:r>
            <w:proofErr w:type="spellEnd"/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, to 1683</w:t>
            </w:r>
          </w:p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642EF0" w:rsidRPr="00642EF0" w:rsidTr="00642E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1683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Qing Dynasty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conquest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Qing Dynasty, 1683</w:t>
            </w:r>
          </w:p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to 1895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Qing Dynasty, to 1895</w:t>
            </w:r>
          </w:p>
        </w:tc>
      </w:tr>
      <w:tr w:rsidR="00642EF0" w:rsidRPr="00642EF0" w:rsidTr="00642E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1895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Japan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conquest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Japan, 1895 to 1945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Japan, to 1952</w:t>
            </w:r>
          </w:p>
        </w:tc>
      </w:tr>
      <w:tr w:rsidR="00642EF0" w:rsidRPr="00642EF0" w:rsidTr="00642EF0">
        <w:trPr>
          <w:trHeight w:val="92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1945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USA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conquest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42EF0">
              <w:rPr>
                <w:rFonts w:ascii="Times New Roman" w:eastAsia="新細明體" w:hAnsi="Times New Roman" w:cs="Times New Roman"/>
                <w:kern w:val="0"/>
                <w:szCs w:val="24"/>
              </w:rPr>
              <w:t>USA, 1945 to present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42EF0" w:rsidRDefault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(Undetermined) </w:t>
            </w:r>
          </w:p>
          <w:p w:rsidR="00642EF0" w:rsidRPr="00642EF0" w:rsidRDefault="00642EF0" w:rsidP="00642EF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1952 to present</w:t>
            </w:r>
          </w:p>
        </w:tc>
      </w:tr>
    </w:tbl>
    <w:p w:rsidR="002E3151" w:rsidRDefault="00642EF0">
      <w:pPr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="00D44E6A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Significant </w:t>
      </w:r>
      <w:r w:rsidR="00C07847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events from the late 1800s to the present are </w:t>
      </w:r>
      <w:r w:rsidR="00D44E6A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described further below.  </w:t>
      </w:r>
      <w:r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> </w:t>
      </w:r>
      <w:r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br/>
      </w:r>
      <w:r w:rsidR="00C07847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I</w:t>
      </w:r>
      <w:r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 xml:space="preserve">n 1887 Taiwan was made a province of Qing China. After Japan defeated Qing China in the First Sino-Japanese War, Taiwan was ceded to Japan in the 1895 Treaty of Shimonoseki. </w:t>
      </w:r>
    </w:p>
    <w:p w:rsidR="002E3151" w:rsidRDefault="002E3151">
      <w:pPr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D44E6A" w:rsidRDefault="00642EF0">
      <w:pP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  <w:r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>In the WWII</w:t>
      </w:r>
      <w:r w:rsidR="002E3151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period</w:t>
      </w:r>
      <w:r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 xml:space="preserve">, all military attacks against (Japanese) Taiwan were conducted by United States military forces. </w:t>
      </w:r>
      <w:r w:rsidR="00A3720D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The United States of America is the conqueror. </w:t>
      </w:r>
      <w:r w:rsidR="00A3720D"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 xml:space="preserve"> </w:t>
      </w:r>
      <w:r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>Japanese troops in Taiwan surrendered on October 25, 1945</w:t>
      </w:r>
      <w:r w:rsidR="00D44E6A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.  </w:t>
      </w:r>
    </w:p>
    <w:p w:rsidR="00D44E6A" w:rsidRDefault="00D44E6A">
      <w:pP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</w:p>
    <w:p w:rsidR="002E3151" w:rsidRDefault="00A3720D">
      <w:pPr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It </w:t>
      </w:r>
      <w:r w:rsidR="00125D2F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is commonly understood 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that the </w:t>
      </w:r>
      <w:r w:rsidR="00D44E6A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Japanese surrender ceremonies</w:t>
      </w:r>
      <w:r w:rsidR="00642EF0"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were held on behalf of the Allies.  However, the ensuing military occupation is held on behalf of the legal occupier, which is the conqueror.  October 25, 1945, </w:t>
      </w:r>
      <w:r w:rsidR="00642EF0"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>mark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s</w:t>
      </w:r>
      <w:r w:rsidR="00642EF0"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 xml:space="preserve"> the beginning of </w:t>
      </w:r>
      <w:r w:rsidR="00D44E6A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m</w:t>
      </w:r>
      <w:r w:rsidR="00D44E6A"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 xml:space="preserve">ilitary </w:t>
      </w:r>
      <w:r w:rsidR="00D44E6A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g</w:t>
      </w:r>
      <w:r w:rsidR="00D44E6A"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 xml:space="preserve">overnment </w:t>
      </w:r>
      <w:r w:rsidR="00D44E6A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jurisd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iction of the conqueror over this</w:t>
      </w:r>
      <w:r w:rsidR="00D44E6A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conquered territory.  Hence, </w:t>
      </w:r>
      <w:r w:rsidR="00642EF0"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 xml:space="preserve">United States Military Government (USMG) jurisdiction over "Formosa and the Pescadores" </w:t>
      </w:r>
      <w:r w:rsidR="00D44E6A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has begun as of this date. </w:t>
      </w:r>
    </w:p>
    <w:p w:rsidR="002E3151" w:rsidRDefault="002E3151">
      <w:pPr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0A4D51" w:rsidRDefault="00642EF0">
      <w:pP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  <w:r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>General MacArthur delegated the administration of th</w:t>
      </w:r>
      <w:r w:rsidR="00A3720D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e</w:t>
      </w:r>
      <w:r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 xml:space="preserve"> military occupation of Taiwan to the Chinese Nationalists. </w:t>
      </w:r>
      <w:r w:rsidR="00125D2F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(Such an arrangement was not specifically authorized by the signatories to the post-war treaty.) </w:t>
      </w:r>
      <w:r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 xml:space="preserve">Under </w:t>
      </w:r>
      <w:r w:rsidR="00125D2F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the laws of war</w:t>
      </w:r>
      <w:r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 xml:space="preserve">, the United States is the principal occupying power, and the Republic of China is </w:t>
      </w:r>
      <w:r w:rsidR="007E7B35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serving in the role of proxy </w:t>
      </w:r>
      <w:r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 xml:space="preserve">occupying </w:t>
      </w:r>
      <w:r w:rsidR="007E7B35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forces</w:t>
      </w:r>
      <w:r w:rsidRPr="00642EF0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>. </w:t>
      </w:r>
    </w:p>
    <w:p w:rsidR="00C07847" w:rsidRDefault="00C07847">
      <w:pP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</w:p>
    <w:p w:rsidR="00D44E6A" w:rsidRDefault="00C07847">
      <w:pP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Japan held the territorial sovereignty of T</w:t>
      </w: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>a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iwan until the post war peace treaty (San Francisco Peace Treaty) came into force on April 28, 1952. </w:t>
      </w:r>
      <w:r w:rsidR="00A3720D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</w:t>
      </w:r>
      <w:r w:rsidR="00D44E6A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By moving its central government to occupied Taiwan in early December 1949, the Republic of China has become a government in exile. </w:t>
      </w:r>
    </w:p>
    <w:p w:rsidR="00125D2F" w:rsidRDefault="00125D2F">
      <w:pP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</w:p>
    <w:p w:rsidR="00A3720D" w:rsidRDefault="00D44E6A">
      <w:pP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Conclusion: </w:t>
      </w:r>
      <w:r w:rsidR="00125D2F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T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he Senate-ratified San Francisco Peace Treaty did no</w:t>
      </w:r>
      <w:r w:rsidR="00125D2F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t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award the territorial sovereignty of Taiwan to </w:t>
      </w:r>
      <w:r w:rsidR="00125D2F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>China;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</w:t>
      </w:r>
      <w:r w:rsidR="00125D2F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however it did confirm the United States as the principal occupying power.  USMG jurisdiction over </w:t>
      </w:r>
      <w:r w:rsidR="00125D2F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lastRenderedPageBreak/>
        <w:t xml:space="preserve">Taiwan was also confirmed.  As a result, 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the</w:t>
      </w:r>
      <w:r w:rsidR="00A3720D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following actions by the Chinese authorities in Taiwan are </w:t>
      </w:r>
      <w:r w:rsidR="00125D2F"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>wholly</w:t>
      </w:r>
      <w:r w:rsidR="00125D2F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</w:t>
      </w:r>
      <w:r w:rsidR="00A3720D"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illegal:</w:t>
      </w:r>
    </w:p>
    <w:p w:rsidR="00A3720D" w:rsidRDefault="00A3720D" w:rsidP="00A3720D">
      <w:pP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(1) </w:t>
      </w:r>
      <w:proofErr w:type="gramStart"/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the</w:t>
      </w:r>
      <w:proofErr w:type="gramEnd"/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  <w:t>promulgation</w:t>
      </w: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and implementation of a Chinese constitution, </w:t>
      </w:r>
    </w:p>
    <w:p w:rsidR="00A3720D" w:rsidRDefault="00A3720D">
      <w:pP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(2) </w:t>
      </w:r>
      <w:proofErr w:type="gramStart"/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the</w:t>
      </w:r>
      <w:proofErr w:type="gramEnd"/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establishment a Chinese Ministry of National Defense, </w:t>
      </w:r>
    </w:p>
    <w:p w:rsidR="00A3720D" w:rsidRDefault="00A3720D">
      <w:pP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(3) </w:t>
      </w:r>
      <w:proofErr w:type="gramStart"/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>the</w:t>
      </w:r>
      <w:proofErr w:type="gramEnd"/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instituting of military conscription policies over the local populace.</w:t>
      </w:r>
    </w:p>
    <w:p w:rsidR="00A3720D" w:rsidRDefault="00A3720D">
      <w:pP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</w:p>
    <w:p w:rsidR="00A3720D" w:rsidRDefault="00A3720D">
      <w:pP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</w:p>
    <w:p w:rsidR="00D44E6A" w:rsidRDefault="00D44E6A">
      <w:pP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</w:t>
      </w:r>
    </w:p>
    <w:sectPr w:rsidR="00D44E6A" w:rsidSect="000A4D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4CB" w:rsidRDefault="006B04CB" w:rsidP="006303AF">
      <w:r>
        <w:separator/>
      </w:r>
    </w:p>
  </w:endnote>
  <w:endnote w:type="continuationSeparator" w:id="0">
    <w:p w:rsidR="006B04CB" w:rsidRDefault="006B04CB" w:rsidP="0063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4CB" w:rsidRDefault="006B04CB" w:rsidP="006303AF">
      <w:r>
        <w:separator/>
      </w:r>
    </w:p>
  </w:footnote>
  <w:footnote w:type="continuationSeparator" w:id="0">
    <w:p w:rsidR="006B04CB" w:rsidRDefault="006B04CB" w:rsidP="00630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6F9"/>
    <w:rsid w:val="000A4D51"/>
    <w:rsid w:val="00125D2F"/>
    <w:rsid w:val="002E3151"/>
    <w:rsid w:val="0058064D"/>
    <w:rsid w:val="006303AF"/>
    <w:rsid w:val="00642EF0"/>
    <w:rsid w:val="006B04CB"/>
    <w:rsid w:val="00732680"/>
    <w:rsid w:val="007E7B35"/>
    <w:rsid w:val="008D76F9"/>
    <w:rsid w:val="009A199E"/>
    <w:rsid w:val="00A3720D"/>
    <w:rsid w:val="00A77CE5"/>
    <w:rsid w:val="00C00656"/>
    <w:rsid w:val="00C07847"/>
    <w:rsid w:val="00D44E6A"/>
    <w:rsid w:val="00D5099F"/>
    <w:rsid w:val="00EF6856"/>
    <w:rsid w:val="00F13B3C"/>
    <w:rsid w:val="00F2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03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03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496</Words>
  <Characters>2828</Characters>
  <Application>Microsoft Office Word</Application>
  <DocSecurity>0</DocSecurity>
  <Lines>23</Lines>
  <Paragraphs>6</Paragraphs>
  <ScaleCrop>false</ScaleCrop>
  <Company>C.M.T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2018-11-11T04:27:00Z</dcterms:created>
  <dcterms:modified xsi:type="dcterms:W3CDTF">2018-11-11T06:01:00Z</dcterms:modified>
</cp:coreProperties>
</file>